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AE" w:rsidRDefault="00B24327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inline distT="19050" distB="19050" distL="19050" distR="19050">
            <wp:extent cx="7122794" cy="25469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2794" cy="254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5535AE" w:rsidRPr="008E2C17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8E2C17">
        <w:rPr>
          <w:color w:val="000000"/>
          <w:sz w:val="52"/>
          <w:szCs w:val="5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TASOS – </w:t>
      </w:r>
      <w:r>
        <w:rPr>
          <w:color w:val="000000"/>
          <w:sz w:val="52"/>
          <w:szCs w:val="5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LIMENARIJA</w:t>
      </w:r>
    </w:p>
    <w:p w:rsidR="005535AE" w:rsidRDefault="005535AE" w:rsidP="005535AE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86D0A"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-ARANŽMANI NA 1</w:t>
      </w:r>
      <w:r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 NOĆENJA</w:t>
      </w:r>
    </w:p>
    <w:p w:rsidR="00B9277D" w:rsidRPr="005535AE" w:rsidRDefault="00B24327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13"/>
          <w:szCs w:val="13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r w:rsidR="005535AE" w:rsidRPr="005535AE">
        <w:rPr>
          <w:rFonts w:ascii="Verdana" w:eastAsia="Verdana" w:hAnsi="Verdana" w:cs="Verdana"/>
          <w:sz w:val="13"/>
          <w:szCs w:val="13"/>
        </w:rPr>
        <w:t>Cenovnik br. 1 od 01.10.2023.</w:t>
      </w:r>
    </w:p>
    <w:tbl>
      <w:tblPr>
        <w:tblStyle w:val="a2"/>
        <w:tblW w:w="11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171"/>
        <w:gridCol w:w="1274"/>
        <w:gridCol w:w="655"/>
        <w:gridCol w:w="648"/>
        <w:gridCol w:w="647"/>
        <w:gridCol w:w="647"/>
        <w:gridCol w:w="648"/>
        <w:gridCol w:w="649"/>
        <w:gridCol w:w="648"/>
        <w:gridCol w:w="649"/>
        <w:gridCol w:w="648"/>
        <w:gridCol w:w="649"/>
        <w:gridCol w:w="648"/>
        <w:gridCol w:w="649"/>
        <w:gridCol w:w="648"/>
        <w:gridCol w:w="649"/>
      </w:tblGrid>
      <w:tr w:rsidR="00B9277D" w:rsidTr="006746B1">
        <w:trPr>
          <w:trHeight w:val="215"/>
        </w:trPr>
        <w:tc>
          <w:tcPr>
            <w:tcW w:w="11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7"/>
                <w:szCs w:val="17"/>
                <w:shd w:val="clear" w:color="auto" w:fill="D9D9D9"/>
              </w:rPr>
              <w:t xml:space="preserve">Vila </w:t>
            </w:r>
          </w:p>
        </w:tc>
        <w:tc>
          <w:tcPr>
            <w:tcW w:w="12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7"/>
                <w:szCs w:val="17"/>
                <w:shd w:val="clear" w:color="auto" w:fill="D9D9D9"/>
              </w:rPr>
              <w:t xml:space="preserve">Tip </w:t>
            </w:r>
          </w:p>
        </w:tc>
        <w:tc>
          <w:tcPr>
            <w:tcW w:w="6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18.05 </w:t>
            </w:r>
          </w:p>
        </w:tc>
        <w:tc>
          <w:tcPr>
            <w:tcW w:w="6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28.05 </w:t>
            </w:r>
          </w:p>
        </w:tc>
        <w:tc>
          <w:tcPr>
            <w:tcW w:w="64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07.06 </w:t>
            </w:r>
          </w:p>
        </w:tc>
        <w:tc>
          <w:tcPr>
            <w:tcW w:w="64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17.06 </w:t>
            </w:r>
          </w:p>
        </w:tc>
        <w:tc>
          <w:tcPr>
            <w:tcW w:w="6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27.06 </w:t>
            </w:r>
          </w:p>
        </w:tc>
        <w:tc>
          <w:tcPr>
            <w:tcW w:w="6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07.07 </w:t>
            </w:r>
          </w:p>
        </w:tc>
        <w:tc>
          <w:tcPr>
            <w:tcW w:w="6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17.07 </w:t>
            </w:r>
          </w:p>
        </w:tc>
        <w:tc>
          <w:tcPr>
            <w:tcW w:w="6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27.07 </w:t>
            </w:r>
          </w:p>
        </w:tc>
        <w:tc>
          <w:tcPr>
            <w:tcW w:w="6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06.08 </w:t>
            </w:r>
          </w:p>
        </w:tc>
        <w:tc>
          <w:tcPr>
            <w:tcW w:w="6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16.08 </w:t>
            </w:r>
          </w:p>
        </w:tc>
        <w:tc>
          <w:tcPr>
            <w:tcW w:w="6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26.08 </w:t>
            </w:r>
          </w:p>
        </w:tc>
        <w:tc>
          <w:tcPr>
            <w:tcW w:w="6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05.09 </w:t>
            </w:r>
          </w:p>
        </w:tc>
        <w:tc>
          <w:tcPr>
            <w:tcW w:w="6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 xml:space="preserve">15.09 </w:t>
            </w:r>
          </w:p>
        </w:tc>
        <w:tc>
          <w:tcPr>
            <w:tcW w:w="6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3"/>
                <w:szCs w:val="13"/>
                <w:shd w:val="clear" w:color="auto" w:fill="D9D9D9"/>
              </w:rPr>
              <w:t>25.09</w:t>
            </w:r>
          </w:p>
        </w:tc>
      </w:tr>
      <w:tr w:rsidR="00B9277D" w:rsidTr="006746B1">
        <w:trPr>
          <w:trHeight w:val="290"/>
        </w:trPr>
        <w:tc>
          <w:tcPr>
            <w:tcW w:w="1171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  <w:t>Vila</w:t>
            </w:r>
            <w:r w:rsidRPr="005535A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  <w:t>Kyano</w:t>
            </w:r>
            <w:r w:rsidRPr="005535A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2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90*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120*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170*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380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430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495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565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565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565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525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245*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190*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145*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</w:tc>
      </w:tr>
      <w:tr w:rsidR="00B9277D" w:rsidTr="006746B1">
        <w:trPr>
          <w:trHeight w:val="287"/>
        </w:trPr>
        <w:tc>
          <w:tcPr>
            <w:tcW w:w="1171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92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  <w:t xml:space="preserve">1/2+1 Std </w:t>
            </w:r>
          </w:p>
        </w:tc>
        <w:tc>
          <w:tcPr>
            <w:tcW w:w="6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90*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120*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170*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405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465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575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615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615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615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590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245*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190*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145*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</w:tc>
      </w:tr>
      <w:tr w:rsidR="00B9277D" w:rsidTr="006746B1">
        <w:trPr>
          <w:trHeight w:val="290"/>
        </w:trPr>
        <w:tc>
          <w:tcPr>
            <w:tcW w:w="1171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92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b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6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80*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110*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140*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425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490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600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645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645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645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625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205*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165*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 xml:space="preserve">120*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535AE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</w:tc>
      </w:tr>
      <w:tr w:rsidR="00B9277D" w:rsidTr="006746B1">
        <w:trPr>
          <w:trHeight w:val="129"/>
        </w:trPr>
        <w:tc>
          <w:tcPr>
            <w:tcW w:w="1171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92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0"/>
                <w:szCs w:val="10"/>
                <w:shd w:val="clear" w:color="auto" w:fill="D9D9D9"/>
              </w:rPr>
            </w:pPr>
            <w:r w:rsidRPr="005535AE">
              <w:rPr>
                <w:rFonts w:ascii="Verdana" w:eastAsia="Verdana" w:hAnsi="Verdana" w:cs="Verdana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 xml:space="preserve">6€ dnevno </w:t>
            </w:r>
          </w:p>
        </w:tc>
        <w:tc>
          <w:tcPr>
            <w:tcW w:w="64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77D" w:rsidRPr="005535AE" w:rsidRDefault="00B2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 w:rsidRPr="005535AE">
              <w:rPr>
                <w:rFonts w:ascii="Verdana" w:eastAsia="Verdana" w:hAnsi="Verdana" w:cs="Verdana"/>
                <w:sz w:val="7"/>
                <w:szCs w:val="7"/>
              </w:rPr>
              <w:t>/</w:t>
            </w:r>
          </w:p>
        </w:tc>
      </w:tr>
    </w:tbl>
    <w:p w:rsid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E201EC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(dinarski deo, smeštaj, prevoz ali bez teritorijalne doplate za prevoz) po osobi*</w:t>
      </w:r>
    </w:p>
    <w:p w:rsidR="005535AE" w:rsidRPr="00E201EC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E201E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 xml:space="preserve">Legenda: </w:t>
      </w:r>
      <w:r w:rsidRPr="00E201EC"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1/2+1 Std – Dvokrevetni studio sa pomoćnim ležajem1/3 Std – Trokrevetni studio; 1/3 PStd – Trokrevetni  studio u suterenu vile; 1/3 App </w:t>
      </w:r>
    </w:p>
    <w:p w:rsid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8" w:right="4" w:firstLine="288"/>
        <w:jc w:val="both"/>
        <w:rPr>
          <w:rFonts w:ascii="Verdana" w:eastAsia="Verdana" w:hAnsi="Verdana" w:cs="Verdana"/>
          <w:color w:val="000000"/>
          <w:sz w:val="13"/>
          <w:szCs w:val="13"/>
        </w:rPr>
      </w:pPr>
    </w:p>
    <w:p w:rsidR="005535AE" w:rsidRPr="00D62974" w:rsidRDefault="005535AE" w:rsidP="005535AE">
      <w:pPr>
        <w:widowControl w:val="0"/>
        <w:rPr>
          <w:rFonts w:ascii="Verdana" w:eastAsia="Verdana" w:hAnsi="Verdana" w:cs="Verdana"/>
          <w:b/>
          <w:sz w:val="16"/>
          <w:szCs w:val="16"/>
          <w:u w:val="single"/>
        </w:rPr>
      </w:pPr>
      <w:r w:rsidRPr="00D62974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5535AE" w:rsidRPr="00D62974" w:rsidRDefault="005535AE" w:rsidP="005535A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D62974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5535AE" w:rsidRPr="00D62974" w:rsidRDefault="005535AE" w:rsidP="005535A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15%</w:t>
      </w:r>
    </w:p>
    <w:p w:rsidR="005535AE" w:rsidRPr="00D62974" w:rsidRDefault="005535AE" w:rsidP="005535A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10%</w:t>
      </w:r>
    </w:p>
    <w:p w:rsidR="005535AE" w:rsidRPr="00D62974" w:rsidRDefault="005535AE" w:rsidP="005535A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30.aprila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5%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 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može da se vrši kod organizatora putovanja po cenovnicima osiguravajuće kuće;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</w:t>
      </w:r>
      <w:r w:rsidRPr="005535AE">
        <w:rPr>
          <w:rFonts w:ascii="Verdana" w:eastAsia="Verdana" w:hAnsi="Verdana" w:cs="Verdana"/>
          <w:b/>
          <w:sz w:val="16"/>
          <w:szCs w:val="16"/>
        </w:rPr>
        <w:t>a(podložna je promeni za sezonu 2024)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5535AE" w:rsidRPr="005535AE" w:rsidRDefault="005535AE" w:rsidP="005535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>Lime</w:t>
      </w:r>
      <w:r>
        <w:rPr>
          <w:rFonts w:ascii="Verdana" w:eastAsia="Verdana" w:hAnsi="Verdana" w:cs="Verdana"/>
          <w:color w:val="000000"/>
          <w:sz w:val="16"/>
          <w:szCs w:val="16"/>
        </w:rPr>
        <w:t>narija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 – dolazak, smeštaj, boravak na bazi izabrane usluge, noćenje. </w:t>
      </w:r>
    </w:p>
    <w:p w:rsidR="005535AE" w:rsidRPr="006746B1" w:rsidRDefault="005535AE" w:rsidP="0067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11</w:t>
      </w:r>
      <w:r w:rsidRPr="005535A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dan: </w:t>
      </w:r>
      <w:r>
        <w:rPr>
          <w:rFonts w:ascii="Verdana" w:eastAsia="Verdana" w:hAnsi="Verdana" w:cs="Verdana"/>
          <w:color w:val="000000"/>
          <w:sz w:val="16"/>
          <w:szCs w:val="16"/>
        </w:rPr>
        <w:t>Limenarija</w:t>
      </w:r>
      <w:r w:rsidRPr="005535AE">
        <w:rPr>
          <w:rFonts w:ascii="Verdana" w:eastAsia="Verdana" w:hAnsi="Verdana" w:cs="Verdana"/>
          <w:color w:val="000000"/>
          <w:sz w:val="16"/>
          <w:szCs w:val="16"/>
        </w:rPr>
        <w:t xml:space="preserve">– napuštanje objekta u 9h (po lokalnom vremenu), polazak autobusa u dogovoreno vreme. Vožnja sa kraćim usputnim odmorima.  </w:t>
      </w: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>
        <w:rPr>
          <w:rFonts w:ascii="Verdana" w:eastAsia="Verdana" w:hAnsi="Verdana"/>
          <w:b/>
          <w:color w:val="000000"/>
          <w:sz w:val="16"/>
          <w:szCs w:val="16"/>
        </w:rPr>
        <w:lastRenderedPageBreak/>
        <w:t>Sezona u</w:t>
      </w: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slovi za decu do 5 godina: </w:t>
      </w:r>
    </w:p>
    <w:p w:rsidR="005535AE" w:rsidRPr="00B6653D" w:rsidRDefault="005535AE" w:rsidP="005535A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jedno dete, do 5 god., u krevetu sa roditeljima – besplatno. Dva deteta se tretiraju kao jedna odrasla osoba. 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Vansezona (smene sa zvezdicom): 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8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1. Doplata za single sobu (1/1) je puna cena koju plaća druga osoba 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3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2. Uslovi za decu i doplate za pomoćne krevete (popusti važe samo kada već postoje dve punoplative osobe): </w:t>
      </w:r>
    </w:p>
    <w:p w:rsidR="005535AE" w:rsidRPr="00B6653D" w:rsidRDefault="005535AE" w:rsidP="005535A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deca do 10 godine starosti plaćaju 70% od cene aranžmana, imaju svoj krevet i sedište u autobusu. </w:t>
      </w:r>
    </w:p>
    <w:p w:rsidR="005535AE" w:rsidRPr="00B6653D" w:rsidRDefault="005535AE" w:rsidP="005535A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5535AE" w:rsidRPr="00B6653D" w:rsidRDefault="005535AE" w:rsidP="005535A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2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3. </w:t>
      </w: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Uslovi za neiskorišćene krevete u smeštajnim jedinicama: </w:t>
      </w:r>
    </w:p>
    <w:p w:rsidR="005535AE" w:rsidRPr="00B6653D" w:rsidRDefault="005535AE" w:rsidP="005535A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535AE" w:rsidRPr="00F1213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5535AE" w:rsidRPr="00F1213E" w:rsidRDefault="005535AE" w:rsidP="005535A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5535AE" w:rsidRPr="00F1213E" w:rsidRDefault="005535AE" w:rsidP="005535A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10. u mesecu. </w:t>
      </w:r>
    </w:p>
    <w:p w:rsidR="005535AE" w:rsidRPr="006746B1" w:rsidRDefault="005535AE" w:rsidP="00D644F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746B1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6746B1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6746B1">
        <w:rPr>
          <w:rFonts w:ascii="Verdana" w:eastAsia="Verdana" w:hAnsi="Verdana" w:cs="Verdana"/>
          <w:b/>
          <w:sz w:val="16"/>
          <w:szCs w:val="16"/>
        </w:rPr>
        <w:t>4</w:t>
      </w:r>
      <w:r w:rsidR="006746B1"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</w:p>
    <w:p w:rsidR="005535AE" w:rsidRPr="00F1213E" w:rsidRDefault="005535AE" w:rsidP="005535A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5535AE" w:rsidRDefault="005535AE" w:rsidP="005535A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535AE" w:rsidRPr="008E2C17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 w:firstLine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ili dabldeker veličine (TV, klima, DVD, WC...). Orijentaciono vreme i mesto polaska autobusa, orijentaciona vremena i mesta eventualnih usputnih  priključivanja grupi: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– Kuća cveća);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Kolari);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 „Požarevačka petlja“);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17.50h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19.00h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 megamarketa DIS);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Istanbul);  NIŠ 21.00h (parking kod megamarketa DIS);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Bavka); PAUZA KOD MOTELA BAVKA 22 – 22.40 (u trajanju od 40 min);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 na mestu polaska pojave 30 minuta ranije u odnosu na planirana vremena. Orijentaciono vreme i mesto polaska transfera: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megamarketa DIS);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 kod megamarketa Lidl);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15.30h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60ak minuta.  Organizator ima pravo da skrene prevozno sredstvo do 20ak km sa glavne maršute radi skupljanja putnika i nema obavezu obaveštavanja putnika o tome. Organizator odredjuje mesta polaska i dolaska, mesta i  dužinu trajanja pauze. Tačno vreme dolaska i povratka nije moguće predvideti precizno, jer u mnogome zavise od zadržavanja na graničnim prelazima i carinskih formalnosti (u proseku putovanje može trajati 14-20 časova). Prevoz putnika i njihovog prtljaga u odredištu se vrši do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300 – 500 m od vila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Povratak autobusa za Srbiju je poslednjeg dana boravka, iz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LIMENARIJE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u 17.30h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 u povratku je do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30 min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5535AE" w:rsidRP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</w:p>
    <w:p w:rsidR="005535AE" w:rsidRDefault="005535AE" w:rsidP="005535AE">
      <w:pPr>
        <w:widowControl w:val="0"/>
        <w:rPr>
          <w:rFonts w:ascii="Verdana" w:eastAsia="Verdana" w:hAnsi="Verdana" w:cs="Verdana"/>
          <w:color w:val="000000"/>
          <w:sz w:val="13"/>
          <w:szCs w:val="13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813"/>
        <w:gridCol w:w="1412"/>
        <w:gridCol w:w="2386"/>
        <w:gridCol w:w="2852"/>
      </w:tblGrid>
      <w:tr w:rsidR="005535AE" w:rsidRPr="005535AE" w:rsidTr="005535A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CENA AUTOBUSKOG PREVOZA SA URAČUNATOM TRAJEKT KARTOM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Odrasli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Deca do 10 god.</w:t>
            </w:r>
            <w:r w:rsidRPr="005535AE">
              <w:rPr>
                <w:rFonts w:ascii="Verdana" w:eastAsia="Times New Roman" w:hAnsi="Verdana"/>
                <w:sz w:val="16"/>
                <w:szCs w:val="16"/>
              </w:rPr>
              <w:br/>
              <w:t>*imaju sedište*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Cena karte u jednom pravcu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Doplata za prevoz u smenama sa *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Novi Sad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110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25 eura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Beograd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20 eura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Jagodina, Ćuprija, Paraćin, Pojate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20 eura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Niš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Cene transfera i autobuskog prevoza po programu: TASOS SA KUĆNOG PRAGA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Kragujevac, Kruševac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105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95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75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25 eura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Šabac, Loznica, Valjevo</w:t>
            </w:r>
            <w:r w:rsidRPr="005535AE">
              <w:rPr>
                <w:rFonts w:ascii="Verdana" w:eastAsia="Times New Roman" w:hAnsi="Verdana"/>
                <w:sz w:val="16"/>
                <w:szCs w:val="16"/>
              </w:rPr>
              <w:br/>
              <w:t>Subotica, Sombor, Apatin,</w:t>
            </w:r>
            <w:r w:rsidRPr="005535AE">
              <w:rPr>
                <w:rFonts w:ascii="Verdana" w:eastAsia="Times New Roman" w:hAnsi="Verdana"/>
                <w:sz w:val="16"/>
                <w:szCs w:val="16"/>
              </w:rPr>
              <w:br/>
              <w:t>Vršac, Užice, Čačak, Kraljevo, Sremska Mitrovica,</w:t>
            </w:r>
            <w:r w:rsidRPr="005535AE">
              <w:rPr>
                <w:rFonts w:ascii="Verdana" w:eastAsia="Times New Roman" w:hAnsi="Verdana"/>
                <w:sz w:val="16"/>
                <w:szCs w:val="16"/>
              </w:rPr>
              <w:br/>
              <w:t>Zrenjanin, Kikinda,</w:t>
            </w:r>
            <w:r w:rsidRPr="005535AE">
              <w:rPr>
                <w:rFonts w:ascii="Verdana" w:eastAsia="Times New Roman" w:hAnsi="Verdana"/>
                <w:sz w:val="16"/>
                <w:szCs w:val="16"/>
              </w:rPr>
              <w:br/>
              <w:t>Negotin, Bor, Zaječar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120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110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40 eura</w:t>
            </w:r>
          </w:p>
        </w:tc>
      </w:tr>
      <w:tr w:rsidR="005535AE" w:rsidRPr="005535AE" w:rsidTr="005535A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35AE" w:rsidRPr="005535AE" w:rsidRDefault="005535AE" w:rsidP="005535A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535AE">
              <w:rPr>
                <w:rFonts w:ascii="Verdana" w:eastAsia="Times New Roman" w:hAnsi="Verdana"/>
                <w:sz w:val="16"/>
                <w:szCs w:val="16"/>
              </w:rPr>
              <w:t>Polazak grupe je dan ranije u odnosu na datum početka smene, iz tabele.</w:t>
            </w:r>
            <w:r w:rsidRPr="005535AE">
              <w:rPr>
                <w:rFonts w:ascii="Verdana" w:eastAsia="Times New Roman" w:hAnsi="Verdana"/>
                <w:sz w:val="16"/>
                <w:szCs w:val="16"/>
              </w:rPr>
              <w:br/>
              <w:t>U smenama sa * u slučaju sopstvenog prevoza cena se umanjuje za 30 eura.</w:t>
            </w:r>
          </w:p>
        </w:tc>
      </w:tr>
    </w:tbl>
    <w:p w:rsidR="005535AE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>Mesta predvidjena za izlazak putnika u povratku su na svim navedenim i dozvoljenim izlazištima duž magistralnog i auto-puta u Srbiji.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 za aranžman. </w:t>
      </w: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TASOS SA KUĆNOG PRAGA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ili kombijem od kućne adrese putnika (iz mesta iz tabele) do lokacije gde grupu preuzima autobus i dalji transfer do odabrane vile ili hotela. </w:t>
      </w:r>
    </w:p>
    <w:p w:rsidR="006746B1" w:rsidRDefault="006746B1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Verdana" w:eastAsia="Verdana" w:hAnsi="Verdana"/>
          <w:b/>
          <w:color w:val="000000"/>
          <w:sz w:val="16"/>
          <w:szCs w:val="16"/>
          <w:u w:val="single"/>
        </w:rPr>
      </w:pPr>
    </w:p>
    <w:p w:rsidR="005535AE" w:rsidRPr="00B6653D" w:rsidRDefault="005535AE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  <w:u w:val="single"/>
        </w:rPr>
        <w:lastRenderedPageBreak/>
        <w:t>NAPOMENA</w:t>
      </w:r>
      <w:r w:rsidRPr="00B6653D">
        <w:rPr>
          <w:rFonts w:ascii="Verdana" w:eastAsia="Verdana" w:hAnsi="Verdana"/>
          <w:color w:val="000000"/>
          <w:sz w:val="16"/>
          <w:szCs w:val="16"/>
        </w:rPr>
        <w:t xml:space="preserve">:  </w:t>
      </w:r>
    </w:p>
    <w:p w:rsidR="005535AE" w:rsidRDefault="005535AE" w:rsidP="005535A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 studije ili apartmane se ulazi prvog dana boravka od </w:t>
      </w:r>
      <w:r w:rsidRPr="00086D0A">
        <w:rPr>
          <w:rFonts w:ascii="Verdana" w:eastAsia="Verdana" w:hAnsi="Verdana"/>
          <w:b/>
          <w:color w:val="000000"/>
          <w:sz w:val="16"/>
          <w:szCs w:val="16"/>
        </w:rPr>
        <w:t xml:space="preserve">15:30h </w:t>
      </w:r>
      <w:r w:rsidRPr="00086D0A">
        <w:rPr>
          <w:rFonts w:ascii="Verdana" w:eastAsia="Verdana" w:hAnsi="Verdana"/>
          <w:color w:val="000000"/>
          <w:sz w:val="16"/>
          <w:szCs w:val="16"/>
        </w:rPr>
        <w:t xml:space="preserve">(po lokalnom vremenu), a studiji i apartmani se napuštaju poslednjeg dana boravka do </w:t>
      </w:r>
      <w:r w:rsidRPr="00086D0A">
        <w:rPr>
          <w:rFonts w:ascii="Verdana" w:eastAsia="Verdana" w:hAnsi="Verdana"/>
          <w:b/>
          <w:color w:val="000000"/>
          <w:sz w:val="16"/>
          <w:szCs w:val="16"/>
        </w:rPr>
        <w:t xml:space="preserve">09:00h </w:t>
      </w:r>
      <w:r>
        <w:rPr>
          <w:rFonts w:ascii="Verdana" w:eastAsia="Verdana" w:hAnsi="Verdana"/>
          <w:color w:val="000000"/>
          <w:sz w:val="16"/>
          <w:szCs w:val="16"/>
        </w:rPr>
        <w:t>(po lokalnom vremenu). Putnici</w:t>
      </w:r>
    </w:p>
    <w:p w:rsidR="005535AE" w:rsidRPr="00086D0A" w:rsidRDefault="005535AE" w:rsidP="005535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ulaze u očišćenu i  spremljenu smeštajnu jedinicu, ali su u obavezi da tokom svog boravka sami vode računa o higijeni iste. </w:t>
      </w:r>
    </w:p>
    <w:p w:rsidR="005535AE" w:rsidRPr="00086D0A" w:rsidRDefault="005535AE" w:rsidP="005535A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 svim apartmanima i studijima postoji osnovni kuhinjski pribor i oprema, ali ne i toalet papir i sredstva za  higijenu. Biranje spratnosti, pogleda ili broja sobe nije moguće, osim kada u programu nije drugačije navedeno. </w:t>
      </w:r>
    </w:p>
    <w:p w:rsidR="005535AE" w:rsidRPr="00086D0A" w:rsidRDefault="005535AE" w:rsidP="005535A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right="10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</w:t>
      </w:r>
    </w:p>
    <w:p w:rsidR="005535AE" w:rsidRPr="00086D0A" w:rsidRDefault="005535AE" w:rsidP="005535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right="10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aranžmana je 30. U slučaju  otkaza, minimalni rok je 20 dana pre početka aranžmana. </w:t>
      </w:r>
    </w:p>
    <w:p w:rsidR="005535AE" w:rsidRPr="00086D0A" w:rsidRDefault="005535AE" w:rsidP="005535A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Organizator zadržava pravo da putem LAST MINUTE ponude proda svoje slobodne kapacitete po cenama koje su drugačije od onih u cenovniku. Stranke koje su uplatile aranžman po cenaa</w:t>
      </w:r>
    </w:p>
    <w:p w:rsidR="005535AE" w:rsidRDefault="005535AE" w:rsidP="005535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objavljenim u ovom  cenovniku nemaju pravo da potražuju nadoknadu na ime razlike u ceni. </w:t>
      </w:r>
    </w:p>
    <w:p w:rsidR="005535AE" w:rsidRDefault="005535AE" w:rsidP="005535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</w:p>
    <w:p w:rsidR="005535AE" w:rsidRPr="008E2C17" w:rsidRDefault="005535AE" w:rsidP="005535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jc w:val="center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Organizator ovog putovanja je T. A. Barcino Tours, Licenca OTP 183/2021 kategorija A od 19.11.2021. Za ovo putovanje važe opšti usloviputovanja T. A. Barcino Tours, Beograd. Web sajt www.barcino.travel, Katalog „Leto 202</w:t>
      </w:r>
      <w:r w:rsidRPr="00B6653D">
        <w:rPr>
          <w:rFonts w:ascii="Verdana" w:eastAsia="Verdana" w:hAnsi="Verdana" w:cs="Verdana"/>
          <w:b/>
          <w:sz w:val="16"/>
          <w:szCs w:val="16"/>
        </w:rPr>
        <w:t>4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.“ kao i Opšti Uslovi Putovanja Bacino Tours-a su sastavni deo ovog cenovnika.</w:t>
      </w:r>
    </w:p>
    <w:p w:rsidR="005535AE" w:rsidRDefault="005535AE" w:rsidP="005535AE">
      <w:pPr>
        <w:widowControl w:val="0"/>
        <w:rPr>
          <w:rFonts w:ascii="Verdana" w:eastAsia="Verdana" w:hAnsi="Verdana" w:cs="Verdana"/>
          <w:color w:val="000000"/>
          <w:sz w:val="13"/>
          <w:szCs w:val="13"/>
        </w:rPr>
      </w:pPr>
      <w:bookmarkStart w:id="0" w:name="_GoBack"/>
      <w:bookmarkEnd w:id="0"/>
    </w:p>
    <w:p w:rsidR="00B9277D" w:rsidRDefault="00B9277D" w:rsidP="00553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3"/>
          <w:szCs w:val="13"/>
        </w:rPr>
      </w:pPr>
    </w:p>
    <w:sectPr w:rsidR="00B9277D">
      <w:pgSz w:w="11900" w:h="16840"/>
      <w:pgMar w:top="361" w:right="191" w:bottom="2371" w:left="18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F4" w:rsidRDefault="00FC43F4" w:rsidP="005535AE">
      <w:pPr>
        <w:spacing w:line="240" w:lineRule="auto"/>
      </w:pPr>
      <w:r>
        <w:separator/>
      </w:r>
    </w:p>
  </w:endnote>
  <w:endnote w:type="continuationSeparator" w:id="0">
    <w:p w:rsidR="00FC43F4" w:rsidRDefault="00FC43F4" w:rsidP="00553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F4" w:rsidRDefault="00FC43F4" w:rsidP="005535AE">
      <w:pPr>
        <w:spacing w:line="240" w:lineRule="auto"/>
      </w:pPr>
      <w:r>
        <w:separator/>
      </w:r>
    </w:p>
  </w:footnote>
  <w:footnote w:type="continuationSeparator" w:id="0">
    <w:p w:rsidR="00FC43F4" w:rsidRDefault="00FC43F4" w:rsidP="00553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7C9"/>
    <w:multiLevelType w:val="hybridMultilevel"/>
    <w:tmpl w:val="7EE47ED2"/>
    <w:lvl w:ilvl="0" w:tplc="241A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415"/>
    <w:multiLevelType w:val="hybridMultilevel"/>
    <w:tmpl w:val="CFC07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536"/>
    <w:multiLevelType w:val="hybridMultilevel"/>
    <w:tmpl w:val="D94AA7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7D22"/>
    <w:multiLevelType w:val="hybridMultilevel"/>
    <w:tmpl w:val="C744FC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004"/>
    <w:multiLevelType w:val="hybridMultilevel"/>
    <w:tmpl w:val="7D7ED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2256"/>
    <w:multiLevelType w:val="hybridMultilevel"/>
    <w:tmpl w:val="F5403EA2"/>
    <w:lvl w:ilvl="0" w:tplc="241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D"/>
    <w:rsid w:val="005535AE"/>
    <w:rsid w:val="006746B1"/>
    <w:rsid w:val="00B24327"/>
    <w:rsid w:val="00B9277D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89B8C-EADC-48A5-A647-5D7A87E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53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5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AE"/>
  </w:style>
  <w:style w:type="paragraph" w:styleId="Footer">
    <w:name w:val="footer"/>
    <w:basedOn w:val="Normal"/>
    <w:link w:val="FooterChar"/>
    <w:uiPriority w:val="99"/>
    <w:unhideWhenUsed/>
    <w:rsid w:val="005535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7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7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44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HF4DZasQB1ytPWP4l/iuTjySkw==">CgMxLjA4AHIhMVkyV3FoUTBiMy12c1FsODZHR2c2UzdZV0RVN2t3Tjd2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2023-10-18T11:33:00Z</dcterms:created>
  <dcterms:modified xsi:type="dcterms:W3CDTF">2023-10-20T14:32:00Z</dcterms:modified>
</cp:coreProperties>
</file>